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проведения тендеров (практикум)</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«Организация  проведения тендеров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	</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государственных закупок в</w:t>
            </w:r>
          </w:p>
          <w:p>
            <w:pPr>
              <w:jc w:val="left"/>
              <w:spacing w:after="0" w:line="240" w:lineRule="auto"/>
              <w:rPr>
                <w:sz w:val="24"/>
                <w:szCs w:val="24"/>
              </w:rPr>
            </w:pPr>
            <w:r>
              <w:rPr>
                <w:rFonts w:ascii="Times New Roman" w:hAnsi="Times New Roman" w:cs="Times New Roman"/>
                <w:color w:val="#000000"/>
                <w:sz w:val="24"/>
                <w:szCs w:val="24"/>
              </w:rPr>
              <w:t> зарубежных странах и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работа по оптовой и розничной продаже товаров Торговля</w:t>
            </w:r>
          </w:p>
          <w:p>
            <w:pPr>
              <w:jc w:val="left"/>
              <w:spacing w:after="0" w:line="240" w:lineRule="auto"/>
              <w:rPr>
                <w:sz w:val="24"/>
                <w:szCs w:val="24"/>
              </w:rPr>
            </w:pPr>
            <w:r>
              <w:rPr>
                <w:rFonts w:ascii="Times New Roman" w:hAnsi="Times New Roman" w:cs="Times New Roman"/>
                <w:color w:val="#000000"/>
                <w:sz w:val="24"/>
                <w:szCs w:val="24"/>
              </w:rPr>
              <w:t> 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61.56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Субъекты конкурсных торгов.</w:t>
            </w:r>
          </w:p>
          <w:p>
            <w:pPr>
              <w:jc w:val="both"/>
              <w:spacing w:after="0" w:line="240" w:lineRule="auto"/>
              <w:rPr>
                <w:sz w:val="24"/>
                <w:szCs w:val="24"/>
              </w:rPr>
            </w:pPr>
            <w:r>
              <w:rPr>
                <w:rFonts w:ascii="Times New Roman" w:hAnsi="Times New Roman" w:cs="Times New Roman"/>
                <w:color w:val="#000000"/>
                <w:sz w:val="24"/>
                <w:szCs w:val="24"/>
              </w:rPr>
              <w:t> Состав и содержание типового пакета документации для</w:t>
            </w:r>
          </w:p>
          <w:p>
            <w:pPr>
              <w:jc w:val="both"/>
              <w:spacing w:after="0" w:line="240" w:lineRule="auto"/>
              <w:rPr>
                <w:sz w:val="24"/>
                <w:szCs w:val="24"/>
              </w:rPr>
            </w:pPr>
            <w:r>
              <w:rPr>
                <w:rFonts w:ascii="Times New Roman" w:hAnsi="Times New Roman" w:cs="Times New Roman"/>
                <w:color w:val="#000000"/>
                <w:sz w:val="24"/>
                <w:szCs w:val="24"/>
              </w:rPr>
              <w:t> конкурсных торгов Подходы к составлению документации</w:t>
            </w:r>
          </w:p>
          <w:p>
            <w:pPr>
              <w:jc w:val="both"/>
              <w:spacing w:after="0" w:line="240" w:lineRule="auto"/>
              <w:rPr>
                <w:sz w:val="24"/>
                <w:szCs w:val="24"/>
              </w:rPr>
            </w:pPr>
            <w:r>
              <w:rPr>
                <w:rFonts w:ascii="Times New Roman" w:hAnsi="Times New Roman" w:cs="Times New Roman"/>
                <w:color w:val="#000000"/>
                <w:sz w:val="24"/>
                <w:szCs w:val="24"/>
              </w:rPr>
              <w:t> для торгов; содержание разделов документов,</w:t>
            </w:r>
          </w:p>
          <w:p>
            <w:pPr>
              <w:jc w:val="both"/>
              <w:spacing w:after="0" w:line="240" w:lineRule="auto"/>
              <w:rPr>
                <w:sz w:val="24"/>
                <w:szCs w:val="24"/>
              </w:rPr>
            </w:pPr>
            <w:r>
              <w:rPr>
                <w:rFonts w:ascii="Times New Roman" w:hAnsi="Times New Roman" w:cs="Times New Roman"/>
                <w:color w:val="#000000"/>
                <w:sz w:val="24"/>
                <w:szCs w:val="24"/>
              </w:rPr>
              <w:t> составляющих конкурсное предложение. Модификация</w:t>
            </w:r>
          </w:p>
          <w:p>
            <w:pPr>
              <w:jc w:val="both"/>
              <w:spacing w:after="0" w:line="240" w:lineRule="auto"/>
              <w:rPr>
                <w:sz w:val="24"/>
                <w:szCs w:val="24"/>
              </w:rPr>
            </w:pPr>
            <w:r>
              <w:rPr>
                <w:rFonts w:ascii="Times New Roman" w:hAnsi="Times New Roman" w:cs="Times New Roman"/>
                <w:color w:val="#000000"/>
                <w:sz w:val="24"/>
                <w:szCs w:val="24"/>
              </w:rPr>
              <w:t> процедур международных конкурсных торгов. Методы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оценки конкурсных предложений, определение</w:t>
            </w:r>
          </w:p>
          <w:p>
            <w:pPr>
              <w:jc w:val="both"/>
              <w:spacing w:after="0" w:line="240" w:lineRule="auto"/>
              <w:rPr>
                <w:sz w:val="24"/>
                <w:szCs w:val="24"/>
              </w:rPr>
            </w:pPr>
            <w:r>
              <w:rPr>
                <w:rFonts w:ascii="Times New Roman" w:hAnsi="Times New Roman" w:cs="Times New Roman"/>
                <w:color w:val="#000000"/>
                <w:sz w:val="24"/>
                <w:szCs w:val="24"/>
              </w:rPr>
              <w:t> победителей и подписание контракта. Другие виды закупок</w:t>
            </w:r>
          </w:p>
          <w:p>
            <w:pPr>
              <w:jc w:val="both"/>
              <w:spacing w:after="0" w:line="240" w:lineRule="auto"/>
              <w:rPr>
                <w:sz w:val="24"/>
                <w:szCs w:val="24"/>
              </w:rPr>
            </w:pPr>
            <w:r>
              <w:rPr>
                <w:rFonts w:ascii="Times New Roman" w:hAnsi="Times New Roman" w:cs="Times New Roman"/>
                <w:color w:val="#000000"/>
                <w:sz w:val="24"/>
                <w:szCs w:val="24"/>
              </w:rPr>
              <w:t> и особенности их проведения. Виды и содержание</w:t>
            </w:r>
          </w:p>
          <w:p>
            <w:pPr>
              <w:jc w:val="both"/>
              <w:spacing w:after="0" w:line="240" w:lineRule="auto"/>
              <w:rPr>
                <w:sz w:val="24"/>
                <w:szCs w:val="24"/>
              </w:rPr>
            </w:pPr>
            <w:r>
              <w:rPr>
                <w:rFonts w:ascii="Times New Roman" w:hAnsi="Times New Roman" w:cs="Times New Roman"/>
                <w:color w:val="#000000"/>
                <w:sz w:val="24"/>
                <w:szCs w:val="24"/>
              </w:rPr>
              <w:t> контрактов, особенности управления реализацией</w:t>
            </w:r>
          </w:p>
          <w:p>
            <w:pPr>
              <w:jc w:val="both"/>
              <w:spacing w:after="0" w:line="240" w:lineRule="auto"/>
              <w:rPr>
                <w:sz w:val="24"/>
                <w:szCs w:val="24"/>
              </w:rPr>
            </w:pPr>
            <w:r>
              <w:rPr>
                <w:rFonts w:ascii="Times New Roman" w:hAnsi="Times New Roman" w:cs="Times New Roman"/>
                <w:color w:val="#000000"/>
                <w:sz w:val="24"/>
                <w:szCs w:val="24"/>
              </w:rPr>
              <w:t> контрактов на закупки товаров и работ.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государственных закупок в</w:t>
            </w:r>
          </w:p>
          <w:p>
            <w:pPr>
              <w:jc w:val="center"/>
              <w:spacing w:after="0" w:line="240" w:lineRule="auto"/>
              <w:rPr>
                <w:sz w:val="24"/>
                <w:szCs w:val="24"/>
              </w:rPr>
            </w:pPr>
            <w:r>
              <w:rPr>
                <w:rFonts w:ascii="Times New Roman" w:hAnsi="Times New Roman" w:cs="Times New Roman"/>
                <w:b/>
                <w:color w:val="#000000"/>
                <w:sz w:val="24"/>
                <w:szCs w:val="24"/>
              </w:rPr>
              <w:t> зарубежных странах и в</w:t>
            </w:r>
          </w:p>
          <w:p>
            <w:pPr>
              <w:jc w:val="center"/>
              <w:spacing w:after="0" w:line="240" w:lineRule="auto"/>
              <w:rPr>
                <w:sz w:val="24"/>
                <w:szCs w:val="24"/>
              </w:rPr>
            </w:pPr>
            <w:r>
              <w:rPr>
                <w:rFonts w:ascii="Times New Roman" w:hAnsi="Times New Roman" w:cs="Times New Roman"/>
                <w:b/>
                <w:color w:val="#000000"/>
                <w:sz w:val="24"/>
                <w:szCs w:val="24"/>
              </w:rPr>
              <w:t>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закупок и модели их</w:t>
            </w:r>
          </w:p>
          <w:p>
            <w:pPr>
              <w:jc w:val="both"/>
              <w:spacing w:after="0" w:line="240" w:lineRule="auto"/>
              <w:rPr>
                <w:sz w:val="24"/>
                <w:szCs w:val="24"/>
              </w:rPr>
            </w:pPr>
            <w:r>
              <w:rPr>
                <w:rFonts w:ascii="Times New Roman" w:hAnsi="Times New Roman" w:cs="Times New Roman"/>
                <w:color w:val="#000000"/>
                <w:sz w:val="24"/>
                <w:szCs w:val="24"/>
              </w:rPr>
              <w:t> организации. Примеры организации системы</w:t>
            </w:r>
          </w:p>
          <w:p>
            <w:pPr>
              <w:jc w:val="both"/>
              <w:spacing w:after="0" w:line="240" w:lineRule="auto"/>
              <w:rPr>
                <w:sz w:val="24"/>
                <w:szCs w:val="24"/>
              </w:rPr>
            </w:pPr>
            <w:r>
              <w:rPr>
                <w:rFonts w:ascii="Times New Roman" w:hAnsi="Times New Roman" w:cs="Times New Roman"/>
                <w:color w:val="#000000"/>
                <w:sz w:val="24"/>
                <w:szCs w:val="24"/>
              </w:rPr>
              <w:t> государственных закупок в зарубежных странах. Опыт</w:t>
            </w:r>
          </w:p>
          <w:p>
            <w:pPr>
              <w:jc w:val="both"/>
              <w:spacing w:after="0" w:line="240" w:lineRule="auto"/>
              <w:rPr>
                <w:sz w:val="24"/>
                <w:szCs w:val="24"/>
              </w:rPr>
            </w:pPr>
            <w:r>
              <w:rPr>
                <w:rFonts w:ascii="Times New Roman" w:hAnsi="Times New Roman" w:cs="Times New Roman"/>
                <w:color w:val="#000000"/>
                <w:sz w:val="24"/>
                <w:szCs w:val="24"/>
              </w:rPr>
              <w:t> организации электронных государственных торгов.</w:t>
            </w:r>
          </w:p>
          <w:p>
            <w:pPr>
              <w:jc w:val="both"/>
              <w:spacing w:after="0" w:line="240" w:lineRule="auto"/>
              <w:rPr>
                <w:sz w:val="24"/>
                <w:szCs w:val="24"/>
              </w:rPr>
            </w:pPr>
            <w:r>
              <w:rPr>
                <w:rFonts w:ascii="Times New Roman" w:hAnsi="Times New Roman" w:cs="Times New Roman"/>
                <w:color w:val="#000000"/>
                <w:sz w:val="24"/>
                <w:szCs w:val="24"/>
              </w:rPr>
              <w:t> Правовые основы и практика организации закупок в РФ,</w:t>
            </w:r>
          </w:p>
          <w:p>
            <w:pPr>
              <w:jc w:val="both"/>
              <w:spacing w:after="0" w:line="240" w:lineRule="auto"/>
              <w:rPr>
                <w:sz w:val="24"/>
                <w:szCs w:val="24"/>
              </w:rPr>
            </w:pPr>
            <w:r>
              <w:rPr>
                <w:rFonts w:ascii="Times New Roman" w:hAnsi="Times New Roman" w:cs="Times New Roman"/>
                <w:color w:val="#000000"/>
                <w:sz w:val="24"/>
                <w:szCs w:val="24"/>
              </w:rPr>
              <w:t> направления их совершенствования.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информация и ее защита.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способы защиты коммерческой информации в предпринимательской</w:t>
            </w:r>
          </w:p>
          <w:p>
            <w:pPr>
              <w:jc w:val="both"/>
              <w:spacing w:after="0" w:line="240" w:lineRule="auto"/>
              <w:rPr>
                <w:sz w:val="24"/>
                <w:szCs w:val="24"/>
              </w:rPr>
            </w:pPr>
            <w:r>
              <w:rPr>
                <w:rFonts w:ascii="Times New Roman" w:hAnsi="Times New Roman" w:cs="Times New Roman"/>
                <w:color w:val="#000000"/>
                <w:sz w:val="24"/>
                <w:szCs w:val="24"/>
              </w:rPr>
              <w:t> деятельности существуют в настоящее время? Каким образом осуществляется</w:t>
            </w:r>
          </w:p>
          <w:p>
            <w:pPr>
              <w:jc w:val="both"/>
              <w:spacing w:after="0" w:line="240" w:lineRule="auto"/>
              <w:rPr>
                <w:sz w:val="24"/>
                <w:szCs w:val="24"/>
              </w:rPr>
            </w:pPr>
            <w:r>
              <w:rPr>
                <w:rFonts w:ascii="Times New Roman" w:hAnsi="Times New Roman" w:cs="Times New Roman"/>
                <w:color w:val="#000000"/>
                <w:sz w:val="24"/>
                <w:szCs w:val="24"/>
              </w:rPr>
              <w:t> нормативно-правовая защита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коммерческой информации и источники ее получения.</w:t>
            </w:r>
          </w:p>
          <w:p>
            <w:pPr>
              <w:jc w:val="both"/>
              <w:spacing w:after="0" w:line="240" w:lineRule="auto"/>
              <w:rPr>
                <w:sz w:val="24"/>
                <w:szCs w:val="24"/>
              </w:rPr>
            </w:pPr>
            <w:r>
              <w:rPr>
                <w:rFonts w:ascii="Times New Roman" w:hAnsi="Times New Roman" w:cs="Times New Roman"/>
                <w:color w:val="#000000"/>
                <w:sz w:val="24"/>
                <w:szCs w:val="24"/>
              </w:rPr>
              <w:t> • Коммерческая тайна и ее содержание.</w:t>
            </w:r>
          </w:p>
          <w:p>
            <w:pPr>
              <w:jc w:val="both"/>
              <w:spacing w:after="0" w:line="240" w:lineRule="auto"/>
              <w:rPr>
                <w:sz w:val="24"/>
                <w:szCs w:val="24"/>
              </w:rPr>
            </w:pPr>
            <w:r>
              <w:rPr>
                <w:rFonts w:ascii="Times New Roman" w:hAnsi="Times New Roman" w:cs="Times New Roman"/>
                <w:color w:val="#000000"/>
                <w:sz w:val="24"/>
                <w:szCs w:val="24"/>
              </w:rPr>
              <w:t> • Обеспечение защиты коммерческой тайны.</w:t>
            </w:r>
          </w:p>
          <w:p>
            <w:pPr>
              <w:jc w:val="both"/>
              <w:spacing w:after="0" w:line="240" w:lineRule="auto"/>
              <w:rPr>
                <w:sz w:val="24"/>
                <w:szCs w:val="24"/>
              </w:rPr>
            </w:pPr>
            <w:r>
              <w:rPr>
                <w:rFonts w:ascii="Times New Roman" w:hAnsi="Times New Roman" w:cs="Times New Roman"/>
                <w:color w:val="#000000"/>
                <w:sz w:val="24"/>
                <w:szCs w:val="24"/>
              </w:rPr>
              <w:t> • Роль товарных знаков в коммерческой работе.</w:t>
            </w:r>
          </w:p>
          <w:p>
            <w:pPr>
              <w:jc w:val="both"/>
              <w:spacing w:after="0" w:line="240" w:lineRule="auto"/>
              <w:rPr>
                <w:sz w:val="24"/>
                <w:szCs w:val="24"/>
              </w:rPr>
            </w:pPr>
            <w:r>
              <w:rPr>
                <w:rFonts w:ascii="Times New Roman" w:hAnsi="Times New Roman" w:cs="Times New Roman"/>
                <w:color w:val="#000000"/>
                <w:sz w:val="24"/>
                <w:szCs w:val="24"/>
              </w:rPr>
              <w:t> • Использование товарного знака.</w:t>
            </w:r>
          </w:p>
          <w:p>
            <w:pPr>
              <w:jc w:val="both"/>
              <w:spacing w:after="0" w:line="240" w:lineRule="auto"/>
              <w:rPr>
                <w:sz w:val="24"/>
                <w:szCs w:val="24"/>
              </w:rPr>
            </w:pPr>
            <w:r>
              <w:rPr>
                <w:rFonts w:ascii="Times New Roman" w:hAnsi="Times New Roman" w:cs="Times New Roman"/>
                <w:color w:val="#000000"/>
                <w:sz w:val="24"/>
                <w:szCs w:val="24"/>
              </w:rPr>
              <w:t> • Уступка товарного знака (товарный франчайзинг).</w:t>
            </w:r>
          </w:p>
          <w:p>
            <w:pPr>
              <w:jc w:val="both"/>
              <w:spacing w:after="0" w:line="240" w:lineRule="auto"/>
              <w:rPr>
                <w:sz w:val="24"/>
                <w:szCs w:val="24"/>
              </w:rPr>
            </w:pPr>
            <w:r>
              <w:rPr>
                <w:rFonts w:ascii="Times New Roman" w:hAnsi="Times New Roman" w:cs="Times New Roman"/>
                <w:color w:val="#000000"/>
                <w:sz w:val="24"/>
                <w:szCs w:val="24"/>
              </w:rPr>
              <w:t> • Прекращение правовой охраны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услуг, их отличие от товара.</w:t>
            </w:r>
          </w:p>
          <w:p>
            <w:pPr>
              <w:jc w:val="both"/>
              <w:spacing w:after="0" w:line="240" w:lineRule="auto"/>
              <w:rPr>
                <w:sz w:val="24"/>
                <w:szCs w:val="24"/>
              </w:rPr>
            </w:pPr>
            <w:r>
              <w:rPr>
                <w:rFonts w:ascii="Times New Roman" w:hAnsi="Times New Roman" w:cs="Times New Roman"/>
                <w:color w:val="#000000"/>
                <w:sz w:val="24"/>
                <w:szCs w:val="24"/>
              </w:rPr>
              <w:t> • Классификация услуг.</w:t>
            </w:r>
          </w:p>
          <w:p>
            <w:pPr>
              <w:jc w:val="both"/>
              <w:spacing w:after="0" w:line="240" w:lineRule="auto"/>
              <w:rPr>
                <w:sz w:val="24"/>
                <w:szCs w:val="24"/>
              </w:rPr>
            </w:pPr>
            <w:r>
              <w:rPr>
                <w:rFonts w:ascii="Times New Roman" w:hAnsi="Times New Roman" w:cs="Times New Roman"/>
                <w:color w:val="#000000"/>
                <w:sz w:val="24"/>
                <w:szCs w:val="24"/>
              </w:rPr>
              <w:t> • Специфика коммерции услуг.</w:t>
            </w:r>
          </w:p>
          <w:p>
            <w:pPr>
              <w:jc w:val="both"/>
              <w:spacing w:after="0" w:line="240" w:lineRule="auto"/>
              <w:rPr>
                <w:sz w:val="24"/>
                <w:szCs w:val="24"/>
              </w:rPr>
            </w:pPr>
            <w:r>
              <w:rPr>
                <w:rFonts w:ascii="Times New Roman" w:hAnsi="Times New Roman" w:cs="Times New Roman"/>
                <w:color w:val="#000000"/>
                <w:sz w:val="24"/>
                <w:szCs w:val="24"/>
              </w:rPr>
              <w:t> 2. Ситуационное задание «Использование маркетинга в коммерческой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работа по оптовой и розничной продаже товаров Торговля</w:t>
            </w:r>
          </w:p>
          <w:p>
            <w:pPr>
              <w:jc w:val="center"/>
              <w:spacing w:after="0" w:line="240" w:lineRule="auto"/>
              <w:rPr>
                <w:sz w:val="24"/>
                <w:szCs w:val="24"/>
              </w:rPr>
            </w:pPr>
            <w:r>
              <w:rPr>
                <w:rFonts w:ascii="Times New Roman" w:hAnsi="Times New Roman" w:cs="Times New Roman"/>
                <w:b/>
                <w:color w:val="#000000"/>
                <w:sz w:val="24"/>
                <w:szCs w:val="24"/>
              </w:rPr>
              <w:t> на аукционах, конкурсах (тендерах).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Сущность, роль и задачи коммерческой работы по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оптовой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услуг оптовыми предприятиями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розничной продаже товаров.</w:t>
            </w:r>
          </w:p>
          <w:p>
            <w:pPr>
              <w:jc w:val="both"/>
              <w:spacing w:after="0" w:line="240" w:lineRule="auto"/>
              <w:rPr>
                <w:sz w:val="24"/>
                <w:szCs w:val="24"/>
              </w:rPr>
            </w:pPr>
            <w:r>
              <w:rPr>
                <w:rFonts w:ascii="Times New Roman" w:hAnsi="Times New Roman" w:cs="Times New Roman"/>
                <w:color w:val="#000000"/>
                <w:sz w:val="24"/>
                <w:szCs w:val="24"/>
              </w:rPr>
              <w:t> • Методы розничной продажи товаров.</w:t>
            </w:r>
          </w:p>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w:t>
            </w:r>
          </w:p>
          <w:p>
            <w:pPr>
              <w:jc w:val="both"/>
              <w:spacing w:after="0" w:line="240" w:lineRule="auto"/>
              <w:rPr>
                <w:sz w:val="24"/>
                <w:szCs w:val="24"/>
              </w:rPr>
            </w:pPr>
            <w:r>
              <w:rPr>
                <w:rFonts w:ascii="Times New Roman" w:hAnsi="Times New Roman" w:cs="Times New Roman"/>
                <w:color w:val="#000000"/>
                <w:sz w:val="24"/>
                <w:szCs w:val="24"/>
              </w:rPr>
              <w:t>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торговых услуг покупателям.</w:t>
            </w:r>
          </w:p>
          <w:p>
            <w:pPr>
              <w:jc w:val="both"/>
              <w:spacing w:after="0" w:line="240" w:lineRule="auto"/>
              <w:rPr>
                <w:sz w:val="24"/>
                <w:szCs w:val="24"/>
              </w:rPr>
            </w:pPr>
            <w:r>
              <w:rPr>
                <w:rFonts w:ascii="Times New Roman" w:hAnsi="Times New Roman" w:cs="Times New Roman"/>
                <w:color w:val="#000000"/>
                <w:sz w:val="24"/>
                <w:szCs w:val="24"/>
              </w:rPr>
              <w:t> • Сущность и виды торгов.</w:t>
            </w:r>
          </w:p>
          <w:p>
            <w:pPr>
              <w:jc w:val="both"/>
              <w:spacing w:after="0" w:line="240" w:lineRule="auto"/>
              <w:rPr>
                <w:sz w:val="24"/>
                <w:szCs w:val="24"/>
              </w:rPr>
            </w:pPr>
            <w:r>
              <w:rPr>
                <w:rFonts w:ascii="Times New Roman" w:hAnsi="Times New Roman" w:cs="Times New Roman"/>
                <w:color w:val="#000000"/>
                <w:sz w:val="24"/>
                <w:szCs w:val="24"/>
              </w:rPr>
              <w:t> • Сущность и организационные формы аукционов.</w:t>
            </w:r>
          </w:p>
          <w:p>
            <w:pPr>
              <w:jc w:val="both"/>
              <w:spacing w:after="0" w:line="240" w:lineRule="auto"/>
              <w:rPr>
                <w:sz w:val="24"/>
                <w:szCs w:val="24"/>
              </w:rPr>
            </w:pPr>
            <w:r>
              <w:rPr>
                <w:rFonts w:ascii="Times New Roman" w:hAnsi="Times New Roman" w:cs="Times New Roman"/>
                <w:color w:val="#000000"/>
                <w:sz w:val="24"/>
                <w:szCs w:val="24"/>
              </w:rPr>
              <w:t> • Организация проведения конкурсов (тендеров)</w:t>
            </w:r>
          </w:p>
          <w:p>
            <w:pPr>
              <w:jc w:val="both"/>
              <w:spacing w:after="0" w:line="240" w:lineRule="auto"/>
              <w:rPr>
                <w:sz w:val="24"/>
                <w:szCs w:val="24"/>
              </w:rPr>
            </w:pPr>
            <w:r>
              <w:rPr>
                <w:rFonts w:ascii="Times New Roman" w:hAnsi="Times New Roman" w:cs="Times New Roman"/>
                <w:color w:val="#000000"/>
                <w:sz w:val="24"/>
                <w:szCs w:val="24"/>
              </w:rPr>
              <w:t> 2. Деловая игра «Коммерческая работа по розничной продаже товаров».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типовыми формами тендерной</w:t>
            </w:r>
          </w:p>
          <w:p>
            <w:pPr>
              <w:jc w:val="both"/>
              <w:spacing w:after="0" w:line="240" w:lineRule="auto"/>
              <w:rPr>
                <w:sz w:val="24"/>
                <w:szCs w:val="24"/>
              </w:rPr>
            </w:pPr>
            <w:r>
              <w:rPr>
                <w:rFonts w:ascii="Times New Roman" w:hAnsi="Times New Roman" w:cs="Times New Roman"/>
                <w:color w:val="#000000"/>
                <w:sz w:val="24"/>
                <w:szCs w:val="24"/>
              </w:rPr>
              <w:t> документации: подготовка на компьютере</w:t>
            </w:r>
          </w:p>
          <w:p>
            <w:pPr>
              <w:jc w:val="both"/>
              <w:spacing w:after="0" w:line="240" w:lineRule="auto"/>
              <w:rPr>
                <w:sz w:val="24"/>
                <w:szCs w:val="24"/>
              </w:rPr>
            </w:pPr>
            <w:r>
              <w:rPr>
                <w:rFonts w:ascii="Times New Roman" w:hAnsi="Times New Roman" w:cs="Times New Roman"/>
                <w:color w:val="#000000"/>
                <w:sz w:val="24"/>
                <w:szCs w:val="24"/>
              </w:rPr>
              <w:t> приглашения к участию в торгах, информационных</w:t>
            </w:r>
          </w:p>
          <w:p>
            <w:pPr>
              <w:jc w:val="both"/>
              <w:spacing w:after="0" w:line="240" w:lineRule="auto"/>
              <w:rPr>
                <w:sz w:val="24"/>
                <w:szCs w:val="24"/>
              </w:rPr>
            </w:pPr>
            <w:r>
              <w:rPr>
                <w:rFonts w:ascii="Times New Roman" w:hAnsi="Times New Roman" w:cs="Times New Roman"/>
                <w:color w:val="#000000"/>
                <w:sz w:val="24"/>
                <w:szCs w:val="24"/>
              </w:rPr>
              <w:t> карт конкурсных предложений. Подготовка, подача,</w:t>
            </w:r>
          </w:p>
          <w:p>
            <w:pPr>
              <w:jc w:val="both"/>
              <w:spacing w:after="0" w:line="240" w:lineRule="auto"/>
              <w:rPr>
                <w:sz w:val="24"/>
                <w:szCs w:val="24"/>
              </w:rPr>
            </w:pPr>
            <w:r>
              <w:rPr>
                <w:rFonts w:ascii="Times New Roman" w:hAnsi="Times New Roman" w:cs="Times New Roman"/>
                <w:color w:val="#000000"/>
                <w:sz w:val="24"/>
                <w:szCs w:val="24"/>
              </w:rPr>
              <w:t> вскрытие предложений. Просмотр учебного фильма.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Разрешительные документы для участия в тендере.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документов для участия в тендере. Документы, необходимые для участия в закупке. Оформление документов для участия в тендере.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критерии качества организации тендера.</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Корректно организованный тендер:</w:t>
            </w:r>
          </w:p>
          <w:p>
            <w:pPr>
              <w:jc w:val="both"/>
              <w:spacing w:after="0" w:line="240" w:lineRule="auto"/>
              <w:rPr>
                <w:sz w:val="24"/>
                <w:szCs w:val="24"/>
              </w:rPr>
            </w:pPr>
            <w:r>
              <w:rPr>
                <w:rFonts w:ascii="Times New Roman" w:hAnsi="Times New Roman" w:cs="Times New Roman"/>
                <w:color w:val="#000000"/>
                <w:sz w:val="24"/>
                <w:szCs w:val="24"/>
              </w:rPr>
              <w:t> 1. Все участники тендера находятся в равных условиях, каких бы вопросов в ходе тендера это ни касалось;</w:t>
            </w:r>
          </w:p>
          <w:p>
            <w:pPr>
              <w:jc w:val="both"/>
              <w:spacing w:after="0" w:line="240" w:lineRule="auto"/>
              <w:rPr>
                <w:sz w:val="24"/>
                <w:szCs w:val="24"/>
              </w:rPr>
            </w:pPr>
            <w:r>
              <w:rPr>
                <w:rFonts w:ascii="Times New Roman" w:hAnsi="Times New Roman" w:cs="Times New Roman"/>
                <w:color w:val="#000000"/>
                <w:sz w:val="24"/>
                <w:szCs w:val="24"/>
              </w:rPr>
              <w:t> 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pPr>
              <w:jc w:val="both"/>
              <w:spacing w:after="0" w:line="240" w:lineRule="auto"/>
              <w:rPr>
                <w:sz w:val="24"/>
                <w:szCs w:val="24"/>
              </w:rPr>
            </w:pPr>
            <w:r>
              <w:rPr>
                <w:rFonts w:ascii="Times New Roman" w:hAnsi="Times New Roman" w:cs="Times New Roman"/>
                <w:color w:val="#000000"/>
                <w:sz w:val="24"/>
                <w:szCs w:val="24"/>
              </w:rPr>
              <w:t> 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pPr>
              <w:jc w:val="both"/>
              <w:spacing w:after="0" w:line="240" w:lineRule="auto"/>
              <w:rPr>
                <w:sz w:val="24"/>
                <w:szCs w:val="24"/>
              </w:rPr>
            </w:pPr>
            <w:r>
              <w:rPr>
                <w:rFonts w:ascii="Times New Roman" w:hAnsi="Times New Roman" w:cs="Times New Roman"/>
                <w:color w:val="#000000"/>
                <w:sz w:val="24"/>
                <w:szCs w:val="24"/>
              </w:rPr>
              <w:t> 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pPr>
              <w:jc w:val="both"/>
              <w:spacing w:after="0" w:line="240" w:lineRule="auto"/>
              <w:rPr>
                <w:sz w:val="24"/>
                <w:szCs w:val="24"/>
              </w:rPr>
            </w:pPr>
            <w:r>
              <w:rPr>
                <w:rFonts w:ascii="Times New Roman" w:hAnsi="Times New Roman" w:cs="Times New Roman"/>
                <w:color w:val="#000000"/>
                <w:sz w:val="24"/>
                <w:szCs w:val="24"/>
              </w:rPr>
              <w:t> Фиктивный или непрозрачный тендер:</w:t>
            </w:r>
          </w:p>
          <w:p>
            <w:pPr>
              <w:jc w:val="both"/>
              <w:spacing w:after="0" w:line="240" w:lineRule="auto"/>
              <w:rPr>
                <w:sz w:val="24"/>
                <w:szCs w:val="24"/>
              </w:rPr>
            </w:pPr>
            <w:r>
              <w:rPr>
                <w:rFonts w:ascii="Times New Roman" w:hAnsi="Times New Roman" w:cs="Times New Roman"/>
                <w:color w:val="#000000"/>
                <w:sz w:val="24"/>
                <w:szCs w:val="24"/>
              </w:rPr>
              <w:t> 1. Организатор не ставит четких целей и задач перед агентствами;</w:t>
            </w:r>
          </w:p>
          <w:p>
            <w:pPr>
              <w:jc w:val="both"/>
              <w:spacing w:after="0" w:line="240" w:lineRule="auto"/>
              <w:rPr>
                <w:sz w:val="24"/>
                <w:szCs w:val="24"/>
              </w:rPr>
            </w:pPr>
            <w:r>
              <w:rPr>
                <w:rFonts w:ascii="Times New Roman" w:hAnsi="Times New Roman" w:cs="Times New Roman"/>
                <w:color w:val="#000000"/>
                <w:sz w:val="24"/>
                <w:szCs w:val="24"/>
              </w:rPr>
              <w:t> 2. Условия тендера/Бриф отсутствуют или не содержат полной, значимой, необходимой информации, в частности, четких конечных целей и критериев оценки;</w:t>
            </w:r>
          </w:p>
          <w:p>
            <w:pPr>
              <w:jc w:val="both"/>
              <w:spacing w:after="0" w:line="240" w:lineRule="auto"/>
              <w:rPr>
                <w:sz w:val="24"/>
                <w:szCs w:val="24"/>
              </w:rPr>
            </w:pPr>
            <w:r>
              <w:rPr>
                <w:rFonts w:ascii="Times New Roman" w:hAnsi="Times New Roman" w:cs="Times New Roman"/>
                <w:color w:val="#000000"/>
                <w:sz w:val="24"/>
                <w:szCs w:val="24"/>
              </w:rPr>
              <w:t> 3. Затруднен доступ к ответственному лицу организатора, участники не получают ответов на свои вопросы;</w:t>
            </w:r>
          </w:p>
          <w:p>
            <w:pPr>
              <w:jc w:val="both"/>
              <w:spacing w:after="0" w:line="240" w:lineRule="auto"/>
              <w:rPr>
                <w:sz w:val="24"/>
                <w:szCs w:val="24"/>
              </w:rPr>
            </w:pPr>
            <w:r>
              <w:rPr>
                <w:rFonts w:ascii="Times New Roman" w:hAnsi="Times New Roman" w:cs="Times New Roman"/>
                <w:color w:val="#000000"/>
                <w:sz w:val="24"/>
                <w:szCs w:val="24"/>
              </w:rPr>
              <w:t> 4. Участники поставлены в неравные условия (например, разные сроки предоставления предложений, различия в информации, предоставленной участникам);</w:t>
            </w:r>
          </w:p>
          <w:p>
            <w:pPr>
              <w:jc w:val="both"/>
              <w:spacing w:after="0" w:line="240" w:lineRule="auto"/>
              <w:rPr>
                <w:sz w:val="24"/>
                <w:szCs w:val="24"/>
              </w:rPr>
            </w:pPr>
            <w:r>
              <w:rPr>
                <w:rFonts w:ascii="Times New Roman" w:hAnsi="Times New Roman" w:cs="Times New Roman"/>
                <w:color w:val="#000000"/>
                <w:sz w:val="24"/>
                <w:szCs w:val="24"/>
              </w:rPr>
              <w:t> 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pPr>
              <w:jc w:val="both"/>
              <w:spacing w:after="0" w:line="240" w:lineRule="auto"/>
              <w:rPr>
                <w:sz w:val="24"/>
                <w:szCs w:val="24"/>
              </w:rPr>
            </w:pPr>
            <w:r>
              <w:rPr>
                <w:rFonts w:ascii="Times New Roman" w:hAnsi="Times New Roman" w:cs="Times New Roman"/>
                <w:color w:val="#000000"/>
                <w:sz w:val="24"/>
                <w:szCs w:val="24"/>
              </w:rPr>
              <w:t> 6. Результаты тендера не обнародованы (не доведены до сведения участников);</w:t>
            </w:r>
          </w:p>
          <w:p>
            <w:pPr>
              <w:jc w:val="both"/>
              <w:spacing w:after="0" w:line="240" w:lineRule="auto"/>
              <w:rPr>
                <w:sz w:val="24"/>
                <w:szCs w:val="24"/>
              </w:rPr>
            </w:pPr>
            <w:r>
              <w:rPr>
                <w:rFonts w:ascii="Times New Roman" w:hAnsi="Times New Roman" w:cs="Times New Roman"/>
                <w:color w:val="#000000"/>
                <w:sz w:val="24"/>
                <w:szCs w:val="24"/>
              </w:rPr>
              <w:t> 7. Побеждает агентство, которое не принимало участие в тендере, или заведомо не соответствует заявленным организатором критериям, требованиям.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Тендерное соглашение.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2023-2024_ФГОС3++2023_Бак-ЗФО-ТД(ОиУЗД)(23)_plx_Организация  проведения тендеров (практикум)</dc:title>
  <dc:creator>FastReport.NET</dc:creator>
</cp:coreProperties>
</file>